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52" w:rsidRPr="00C66352" w:rsidRDefault="00C66352" w:rsidP="00C6635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ind w:left="360"/>
        <w:jc w:val="both"/>
        <w:rPr>
          <w:b/>
          <w:color w:val="000000"/>
          <w:sz w:val="32"/>
          <w:szCs w:val="32"/>
        </w:rPr>
      </w:pPr>
      <w:r w:rsidRPr="00C66352">
        <w:rPr>
          <w:b/>
          <w:color w:val="000000"/>
          <w:sz w:val="32"/>
          <w:szCs w:val="32"/>
        </w:rPr>
        <w:t>REDISCOVER SLIDING FEE SCHEDULE</w:t>
      </w:r>
    </w:p>
    <w:p w:rsidR="00C66352" w:rsidRDefault="00C66352" w:rsidP="00C6635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ind w:left="360"/>
        <w:jc w:val="both"/>
        <w:rPr>
          <w:color w:val="000000"/>
          <w:sz w:val="20"/>
          <w:szCs w:val="20"/>
        </w:rPr>
      </w:pPr>
    </w:p>
    <w:p w:rsidR="00C46535" w:rsidRPr="00256482" w:rsidRDefault="00256482" w:rsidP="002564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ind w:left="360"/>
        <w:jc w:val="both"/>
        <w:rPr>
          <w:color w:val="000000"/>
        </w:rPr>
      </w:pPr>
      <w:r w:rsidRPr="00256482">
        <w:rPr>
          <w:color w:val="000000"/>
        </w:rPr>
        <w:t xml:space="preserve">ReDiscover provides </w:t>
      </w:r>
      <w:r w:rsidR="0084792D" w:rsidRPr="00256482">
        <w:rPr>
          <w:color w:val="000000"/>
        </w:rPr>
        <w:t>services to all individuals regardless of ability to pay.</w:t>
      </w:r>
      <w:r w:rsidRPr="00256482">
        <w:rPr>
          <w:color w:val="000000"/>
        </w:rPr>
        <w:t xml:space="preserve">  </w:t>
      </w:r>
      <w:r w:rsidR="0084792D" w:rsidRPr="00256482">
        <w:rPr>
          <w:color w:val="000000"/>
        </w:rPr>
        <w:t>At Intake, if it is determined that</w:t>
      </w:r>
      <w:r>
        <w:rPr>
          <w:color w:val="000000"/>
        </w:rPr>
        <w:t xml:space="preserve"> you do</w:t>
      </w:r>
      <w:r w:rsidR="0084792D" w:rsidRPr="00256482">
        <w:rPr>
          <w:color w:val="000000"/>
        </w:rPr>
        <w:t xml:space="preserve"> not have</w:t>
      </w:r>
      <w:r>
        <w:rPr>
          <w:color w:val="000000"/>
        </w:rPr>
        <w:t xml:space="preserve"> or are </w:t>
      </w:r>
      <w:r w:rsidRPr="00256482">
        <w:rPr>
          <w:color w:val="000000"/>
        </w:rPr>
        <w:t>not</w:t>
      </w:r>
      <w:r w:rsidR="00C46535" w:rsidRPr="00256482">
        <w:rPr>
          <w:color w:val="000000"/>
        </w:rPr>
        <w:t xml:space="preserve"> eligible for</w:t>
      </w:r>
      <w:r w:rsidR="0084792D" w:rsidRPr="00256482">
        <w:rPr>
          <w:color w:val="000000"/>
        </w:rPr>
        <w:t xml:space="preserve"> Medicaid, Medicare</w:t>
      </w:r>
      <w:r w:rsidR="00C46535" w:rsidRPr="00256482">
        <w:rPr>
          <w:color w:val="000000"/>
        </w:rPr>
        <w:t xml:space="preserve">, </w:t>
      </w:r>
      <w:r w:rsidR="0084792D" w:rsidRPr="00256482">
        <w:rPr>
          <w:color w:val="000000"/>
        </w:rPr>
        <w:t xml:space="preserve">Commercial Insurance, </w:t>
      </w:r>
      <w:r w:rsidR="00C46535" w:rsidRPr="00256482">
        <w:rPr>
          <w:color w:val="000000"/>
        </w:rPr>
        <w:t>Department  of Mental Health General Revenue</w:t>
      </w:r>
      <w:r w:rsidRPr="00256482">
        <w:rPr>
          <w:color w:val="000000"/>
        </w:rPr>
        <w:t xml:space="preserve"> Funding</w:t>
      </w:r>
      <w:r w:rsidR="00C46535" w:rsidRPr="00256482">
        <w:rPr>
          <w:color w:val="000000"/>
        </w:rPr>
        <w:t xml:space="preserve">, </w:t>
      </w:r>
      <w:r w:rsidR="0084792D" w:rsidRPr="00256482">
        <w:rPr>
          <w:color w:val="000000"/>
        </w:rPr>
        <w:t>Jackson County Mental Health Levy</w:t>
      </w:r>
      <w:r w:rsidR="00CB3DA7">
        <w:rPr>
          <w:color w:val="000000"/>
        </w:rPr>
        <w:t xml:space="preserve"> Funding</w:t>
      </w:r>
      <w:r w:rsidR="00C46535" w:rsidRPr="00256482">
        <w:rPr>
          <w:color w:val="000000"/>
        </w:rPr>
        <w:t xml:space="preserve">, </w:t>
      </w:r>
      <w:r w:rsidRPr="00256482">
        <w:rPr>
          <w:color w:val="000000"/>
        </w:rPr>
        <w:t xml:space="preserve">or </w:t>
      </w:r>
      <w:r w:rsidR="00C46535" w:rsidRPr="00256482">
        <w:rPr>
          <w:color w:val="000000"/>
        </w:rPr>
        <w:t>COMBAT</w:t>
      </w:r>
      <w:r w:rsidR="0084792D" w:rsidRPr="00256482">
        <w:rPr>
          <w:color w:val="000000"/>
        </w:rPr>
        <w:t xml:space="preserve"> </w:t>
      </w:r>
      <w:r w:rsidR="00CB3DA7">
        <w:rPr>
          <w:color w:val="000000"/>
        </w:rPr>
        <w:t>F</w:t>
      </w:r>
      <w:r w:rsidR="00C46535" w:rsidRPr="00256482">
        <w:rPr>
          <w:color w:val="000000"/>
        </w:rPr>
        <w:t xml:space="preserve">unding, </w:t>
      </w:r>
      <w:r w:rsidRPr="00256482">
        <w:rPr>
          <w:color w:val="000000"/>
        </w:rPr>
        <w:t>you have the option to apply for a discounted self pay rate.  This rate is based on Family Size and Income Level.</w:t>
      </w:r>
      <w:r>
        <w:rPr>
          <w:color w:val="000000"/>
        </w:rPr>
        <w:t xml:space="preserve">  Application is made by completing a simple one page for</w:t>
      </w:r>
      <w:r w:rsidR="005065D5">
        <w:rPr>
          <w:color w:val="000000"/>
        </w:rPr>
        <w:t>m and attaching supporting</w:t>
      </w:r>
      <w:r>
        <w:rPr>
          <w:color w:val="000000"/>
        </w:rPr>
        <w:t xml:space="preserve"> documentation.  </w:t>
      </w:r>
      <w:r w:rsidRPr="00256482">
        <w:rPr>
          <w:color w:val="000000"/>
        </w:rPr>
        <w:t xml:space="preserve"> </w:t>
      </w:r>
    </w:p>
    <w:p w:rsidR="00662F4E" w:rsidRDefault="004C3635" w:rsidP="00C4653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Style w:val="10"/>
        <w:tblW w:w="9838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69"/>
        <w:gridCol w:w="1425"/>
        <w:gridCol w:w="1402"/>
        <w:gridCol w:w="1402"/>
        <w:gridCol w:w="1480"/>
        <w:gridCol w:w="1480"/>
        <w:gridCol w:w="1480"/>
      </w:tblGrid>
      <w:tr w:rsidR="00662F4E" w:rsidTr="00C66352">
        <w:trPr>
          <w:trHeight w:val="200"/>
        </w:trPr>
        <w:tc>
          <w:tcPr>
            <w:tcW w:w="9838" w:type="dxa"/>
            <w:gridSpan w:val="7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Sliding Fee Income</w:t>
            </w:r>
            <w:r w:rsidR="00256482">
              <w:rPr>
                <w:b/>
                <w:sz w:val="20"/>
                <w:szCs w:val="20"/>
              </w:rPr>
              <w:t>/Family Size Schedule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Guideline*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100% of Poverty</w:t>
            </w:r>
          </w:p>
        </w:tc>
        <w:tc>
          <w:tcPr>
            <w:tcW w:w="1402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150% of Poverty</w:t>
            </w:r>
          </w:p>
        </w:tc>
        <w:tc>
          <w:tcPr>
            <w:tcW w:w="1402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200% of Poverty</w:t>
            </w:r>
          </w:p>
        </w:tc>
        <w:tc>
          <w:tcPr>
            <w:tcW w:w="148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300% of Poverty</w:t>
            </w:r>
          </w:p>
        </w:tc>
        <w:tc>
          <w:tcPr>
            <w:tcW w:w="148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400% of Poverty</w:t>
            </w:r>
          </w:p>
        </w:tc>
        <w:tc>
          <w:tcPr>
            <w:tcW w:w="148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400% of Poverty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Size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402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402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48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48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48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Below </w:t>
            </w:r>
            <w:r w:rsidR="00475228">
              <w:rPr>
                <w:color w:val="000000"/>
                <w:sz w:val="20"/>
                <w:szCs w:val="20"/>
              </w:rPr>
              <w:t>$12,880</w:t>
            </w:r>
            <w:r>
              <w:rPr>
                <w:color w:val="000000"/>
                <w:sz w:val="20"/>
                <w:szCs w:val="20"/>
              </w:rPr>
              <w:t xml:space="preserve"> annually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$19,320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$25,760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$38,640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$51,520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 w:rsidP="00EE436B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$51,520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Below </w:t>
            </w:r>
            <w:r w:rsidR="00475228">
              <w:rPr>
                <w:color w:val="000000"/>
                <w:sz w:val="20"/>
                <w:szCs w:val="20"/>
              </w:rPr>
              <w:t>$17,420</w:t>
            </w:r>
            <w:r>
              <w:rPr>
                <w:color w:val="000000"/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$26,130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$34,840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$52,260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$69,680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$69,680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Below </w:t>
            </w:r>
            <w:r w:rsidR="00475228">
              <w:rPr>
                <w:color w:val="000000"/>
                <w:sz w:val="20"/>
                <w:szCs w:val="20"/>
              </w:rPr>
              <w:t>$21,960</w:t>
            </w:r>
            <w:r>
              <w:rPr>
                <w:color w:val="000000"/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$32,940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$43,920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$65,880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$87,840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$87,840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Below </w:t>
            </w:r>
            <w:r w:rsidR="00475228">
              <w:rPr>
                <w:color w:val="000000"/>
                <w:sz w:val="20"/>
                <w:szCs w:val="20"/>
              </w:rPr>
              <w:t>$26,500</w:t>
            </w:r>
            <w:r>
              <w:rPr>
                <w:color w:val="000000"/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$39,750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$53,000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$79,500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$106,000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$106,000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Below </w:t>
            </w:r>
            <w:r w:rsidR="00475228">
              <w:rPr>
                <w:color w:val="000000"/>
                <w:sz w:val="20"/>
                <w:szCs w:val="20"/>
              </w:rPr>
              <w:t>$31,040</w:t>
            </w:r>
            <w:r>
              <w:rPr>
                <w:color w:val="000000"/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$46,560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$62,080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$93,120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$124,160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$124,160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</w:tr>
      <w:tr w:rsidR="00662F4E" w:rsidTr="00C66352">
        <w:tc>
          <w:tcPr>
            <w:tcW w:w="1169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662F4E" w:rsidRDefault="008479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Below </w:t>
            </w:r>
            <w:r w:rsidR="00475228">
              <w:rPr>
                <w:color w:val="000000"/>
                <w:sz w:val="20"/>
                <w:szCs w:val="20"/>
              </w:rPr>
              <w:t>$35,580</w:t>
            </w:r>
            <w:r>
              <w:rPr>
                <w:color w:val="000000"/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$53,370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02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$71,160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$106,740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$142,320</w:t>
            </w:r>
            <w:r w:rsidR="0084792D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480" w:type="dxa"/>
          </w:tcPr>
          <w:p w:rsidR="00662F4E" w:rsidRDefault="00475228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$142,320</w:t>
            </w:r>
            <w:r w:rsidR="0084792D">
              <w:rPr>
                <w:sz w:val="20"/>
                <w:szCs w:val="20"/>
              </w:rPr>
              <w:t xml:space="preserve"> annually</w:t>
            </w:r>
          </w:p>
        </w:tc>
      </w:tr>
    </w:tbl>
    <w:p w:rsidR="00485493" w:rsidRDefault="00485493">
      <w:pPr>
        <w:pStyle w:val="Normal1"/>
        <w:tabs>
          <w:tab w:val="left" w:pos="-1440"/>
          <w:tab w:val="left" w:pos="-720"/>
        </w:tabs>
        <w:jc w:val="both"/>
        <w:rPr>
          <w:sz w:val="20"/>
          <w:szCs w:val="20"/>
        </w:rPr>
      </w:pPr>
    </w:p>
    <w:p w:rsidR="00485493" w:rsidRDefault="00485493">
      <w:pPr>
        <w:pStyle w:val="Normal1"/>
        <w:tabs>
          <w:tab w:val="left" w:pos="-1440"/>
          <w:tab w:val="left" w:pos="-720"/>
        </w:tabs>
        <w:jc w:val="both"/>
        <w:rPr>
          <w:sz w:val="20"/>
          <w:szCs w:val="20"/>
        </w:rPr>
      </w:pPr>
    </w:p>
    <w:tbl>
      <w:tblPr>
        <w:tblStyle w:val="9"/>
        <w:tblW w:w="10440" w:type="dxa"/>
        <w:tblInd w:w="-342" w:type="dxa"/>
        <w:tblLayout w:type="fixed"/>
        <w:tblLook w:val="0000"/>
      </w:tblPr>
      <w:tblGrid>
        <w:gridCol w:w="3420"/>
        <w:gridCol w:w="1080"/>
        <w:gridCol w:w="1080"/>
        <w:gridCol w:w="1080"/>
        <w:gridCol w:w="1080"/>
        <w:gridCol w:w="1080"/>
        <w:gridCol w:w="1620"/>
      </w:tblGrid>
      <w:tr w:rsidR="00662F4E">
        <w:trPr>
          <w:trHeight w:val="240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62F4E" w:rsidRDefault="00256482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Discounted Fees</w:t>
            </w:r>
          </w:p>
        </w:tc>
      </w:tr>
      <w:tr w:rsidR="00662F4E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</w:tr>
      <w:tr w:rsidR="00662F4E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Nominal Fee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662F4E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662F4E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662F4E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F4E" w:rsidRDefault="00662F4E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Fee</w:t>
            </w:r>
          </w:p>
          <w:p w:rsidR="00662F4E" w:rsidRDefault="0084792D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&gt; 400% FPL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110.80</w:t>
            </w:r>
          </w:p>
          <w:p w:rsidR="00662F4E" w:rsidRDefault="00662F4E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Therapy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40.00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110.80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Case Management-F2F (daily rate)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110.80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 Evaluation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75.00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100.00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220.00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 Check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40.00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99.50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MH PHP/IOP Per Diem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Svcs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50.00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450.00/400.00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 Residential Per Diem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Svcs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75.00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100.00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125.00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550.00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 PHP/IOP Per Diem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Svcs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50.00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450.00/400.00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 Ed/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Cnslng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/Therapy (1 hour)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15.00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52.00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Methadone (Weekly)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Fee as billed</w:t>
            </w:r>
          </w:p>
        </w:tc>
      </w:tr>
      <w:tr w:rsidR="00662F4E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Suboxone (Weekly)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4E" w:rsidRDefault="0084792D">
            <w:pPr>
              <w:pStyle w:val="Normal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Fee as billed</w:t>
            </w:r>
          </w:p>
        </w:tc>
      </w:tr>
    </w:tbl>
    <w:p w:rsidR="00662F4E" w:rsidRPr="00256482" w:rsidRDefault="0084792D" w:rsidP="0025648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ReDiscover Sliding Fee Schedule Application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62F4E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LOCATION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ab/>
        <w:t>_______</w:t>
      </w:r>
    </w:p>
    <w:p w:rsidR="00662F4E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CLIENT ID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</w:t>
      </w:r>
    </w:p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tbl>
      <w:tblPr>
        <w:tblStyle w:val="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8"/>
        <w:gridCol w:w="1620"/>
        <w:gridCol w:w="2214"/>
        <w:gridCol w:w="2214"/>
      </w:tblGrid>
      <w:tr w:rsidR="00662F4E">
        <w:trPr>
          <w:trHeight w:val="540"/>
        </w:trPr>
        <w:tc>
          <w:tcPr>
            <w:tcW w:w="4428" w:type="dxa"/>
            <w:gridSpan w:val="2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Name of head of household</w:t>
            </w:r>
          </w:p>
        </w:tc>
        <w:tc>
          <w:tcPr>
            <w:tcW w:w="4428" w:type="dxa"/>
            <w:gridSpan w:val="2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Place of employment</w:t>
            </w:r>
          </w:p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4"/>
                <w:szCs w:val="14"/>
              </w:rPr>
            </w:pPr>
          </w:p>
        </w:tc>
      </w:tr>
      <w:tr w:rsidR="00662F4E">
        <w:trPr>
          <w:trHeight w:val="520"/>
        </w:trPr>
        <w:tc>
          <w:tcPr>
            <w:tcW w:w="280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Home address</w:t>
            </w:r>
          </w:p>
        </w:tc>
        <w:tc>
          <w:tcPr>
            <w:tcW w:w="16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2214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State</w:t>
            </w:r>
          </w:p>
        </w:tc>
        <w:tc>
          <w:tcPr>
            <w:tcW w:w="2214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Zip</w:t>
            </w:r>
          </w:p>
        </w:tc>
      </w:tr>
      <w:tr w:rsidR="00662F4E">
        <w:trPr>
          <w:trHeight w:val="520"/>
        </w:trPr>
        <w:tc>
          <w:tcPr>
            <w:tcW w:w="4428" w:type="dxa"/>
            <w:gridSpan w:val="2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Phone</w:t>
            </w:r>
          </w:p>
        </w:tc>
        <w:tc>
          <w:tcPr>
            <w:tcW w:w="4428" w:type="dxa"/>
            <w:gridSpan w:val="2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Social Security Number</w:t>
            </w:r>
            <w:r w:rsidR="00655007">
              <w:rPr>
                <w:sz w:val="12"/>
                <w:szCs w:val="12"/>
              </w:rPr>
              <w:t>* (Optional on NHSC SFS Applications)</w:t>
            </w: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</w:p>
    <w:p w:rsidR="00662F4E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  <w:r>
        <w:rPr>
          <w:b/>
          <w:sz w:val="20"/>
          <w:szCs w:val="20"/>
        </w:rPr>
        <w:t>Please list spouse and legal dependents under age 18</w:t>
      </w:r>
    </w:p>
    <w:tbl>
      <w:tblPr>
        <w:tblStyle w:val="6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0"/>
        <w:gridCol w:w="2208"/>
        <w:gridCol w:w="2220"/>
        <w:gridCol w:w="2208"/>
      </w:tblGrid>
      <w:tr w:rsidR="00662F4E">
        <w:tc>
          <w:tcPr>
            <w:tcW w:w="2220" w:type="dxa"/>
            <w:shd w:val="clear" w:color="auto" w:fill="D9D9D9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208" w:type="dxa"/>
            <w:shd w:val="clear" w:color="auto" w:fill="D9D9D9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220" w:type="dxa"/>
            <w:shd w:val="clear" w:color="auto" w:fill="D9D9D9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208" w:type="dxa"/>
            <w:shd w:val="clear" w:color="auto" w:fill="D9D9D9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</w:tr>
      <w:tr w:rsidR="00662F4E">
        <w:trPr>
          <w:trHeight w:val="440"/>
        </w:trPr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Self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Dependent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rPr>
          <w:trHeight w:val="440"/>
        </w:trPr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Spouse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Dependent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rPr>
          <w:trHeight w:val="420"/>
        </w:trPr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Dependent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Dependent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rPr>
          <w:trHeight w:val="440"/>
        </w:trPr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Dependent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220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Dependent</w:t>
            </w:r>
          </w:p>
        </w:tc>
        <w:tc>
          <w:tcPr>
            <w:tcW w:w="220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662F4E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  <w:r>
        <w:rPr>
          <w:b/>
          <w:sz w:val="20"/>
          <w:szCs w:val="20"/>
        </w:rPr>
        <w:t>Annual Household Income</w:t>
      </w:r>
    </w:p>
    <w:tbl>
      <w:tblPr>
        <w:tblStyle w:val="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8"/>
        <w:gridCol w:w="1530"/>
        <w:gridCol w:w="1440"/>
        <w:gridCol w:w="1440"/>
        <w:gridCol w:w="1368"/>
      </w:tblGrid>
      <w:tr w:rsidR="00662F4E">
        <w:tc>
          <w:tcPr>
            <w:tcW w:w="3078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  <w:tc>
          <w:tcPr>
            <w:tcW w:w="1530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</w:t>
            </w:r>
          </w:p>
        </w:tc>
        <w:tc>
          <w:tcPr>
            <w:tcW w:w="1440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</w:t>
            </w:r>
          </w:p>
        </w:tc>
        <w:tc>
          <w:tcPr>
            <w:tcW w:w="1440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Dependents</w:t>
            </w:r>
          </w:p>
        </w:tc>
        <w:tc>
          <w:tcPr>
            <w:tcW w:w="1368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662F4E">
        <w:tc>
          <w:tcPr>
            <w:tcW w:w="3078" w:type="dxa"/>
            <w:vAlign w:val="center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wages, salaries, tips, etc.</w:t>
            </w:r>
          </w:p>
        </w:tc>
        <w:tc>
          <w:tcPr>
            <w:tcW w:w="153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c>
          <w:tcPr>
            <w:tcW w:w="3078" w:type="dxa"/>
            <w:vAlign w:val="center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Security, pension, annuity and veteran’s benefits</w:t>
            </w:r>
          </w:p>
        </w:tc>
        <w:tc>
          <w:tcPr>
            <w:tcW w:w="153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c>
          <w:tcPr>
            <w:tcW w:w="3078" w:type="dxa"/>
            <w:vAlign w:val="center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Alimony, child support, military family allotments</w:t>
            </w:r>
          </w:p>
        </w:tc>
        <w:tc>
          <w:tcPr>
            <w:tcW w:w="153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c>
          <w:tcPr>
            <w:tcW w:w="3078" w:type="dxa"/>
            <w:vAlign w:val="center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Income from business self employment and dependents</w:t>
            </w:r>
          </w:p>
        </w:tc>
        <w:tc>
          <w:tcPr>
            <w:tcW w:w="153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c>
          <w:tcPr>
            <w:tcW w:w="3078" w:type="dxa"/>
            <w:vAlign w:val="center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Rent, interest, dividend and other income</w:t>
            </w:r>
          </w:p>
        </w:tc>
        <w:tc>
          <w:tcPr>
            <w:tcW w:w="153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c>
          <w:tcPr>
            <w:tcW w:w="3078" w:type="dxa"/>
            <w:vAlign w:val="center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INCOME</w:t>
            </w:r>
          </w:p>
        </w:tc>
        <w:tc>
          <w:tcPr>
            <w:tcW w:w="153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</w:p>
    <w:p w:rsidR="00662F4E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 certify that the family size and income information shown above is correct.  </w:t>
      </w:r>
      <w:r>
        <w:rPr>
          <w:sz w:val="20"/>
          <w:szCs w:val="20"/>
        </w:rPr>
        <w:t xml:space="preserve"> </w:t>
      </w: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</w:p>
    <w:p w:rsidR="00662F4E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acknowledge that I am responsible for notifying ReDiscover if my Income or Dependent status changes at anytime.  </w:t>
      </w: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sz w:val="20"/>
          <w:szCs w:val="20"/>
        </w:rPr>
      </w:pPr>
    </w:p>
    <w:p w:rsidR="00036163" w:rsidRDefault="0084792D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understand that falsifying information on this form will result in loss of eligibility for the sliding fee schedule</w:t>
      </w: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</w:p>
    <w:p w:rsidR="00662F4E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understand</w:t>
      </w:r>
      <w:r w:rsidR="0084792D">
        <w:rPr>
          <w:b/>
          <w:sz w:val="20"/>
          <w:szCs w:val="20"/>
        </w:rPr>
        <w:t xml:space="preserve"> that this form must be resubmitted annually to maintain sliding fee status.</w:t>
      </w: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</w:p>
    <w:p w:rsidR="00036163" w:rsidRPr="009454AF" w:rsidRDefault="00036163" w:rsidP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  <w:r w:rsidRPr="009454AF">
        <w:rPr>
          <w:b/>
          <w:sz w:val="20"/>
          <w:szCs w:val="20"/>
        </w:rPr>
        <w:t>I accept responsibility for payment of the assigned fees associated with my services.</w:t>
      </w:r>
    </w:p>
    <w:p w:rsidR="00036163" w:rsidRPr="009454AF" w:rsidRDefault="00036163" w:rsidP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</w:p>
    <w:p w:rsidR="00036163" w:rsidRPr="009454AF" w:rsidRDefault="00036163" w:rsidP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  <w:r w:rsidRPr="009454AF">
        <w:rPr>
          <w:b/>
          <w:sz w:val="20"/>
          <w:szCs w:val="20"/>
        </w:rPr>
        <w:t>I understand it is my responsibility to inform ReDiscover of any change I may experience with Insurance, Medicare, or Medicaid coverage.</w:t>
      </w:r>
    </w:p>
    <w:p w:rsidR="00036163" w:rsidRPr="008C0D38" w:rsidRDefault="00036163" w:rsidP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color w:val="FF0000"/>
          <w:sz w:val="20"/>
          <w:szCs w:val="20"/>
        </w:rPr>
      </w:pPr>
    </w:p>
    <w:p w:rsidR="00036163" w:rsidRDefault="00036163" w:rsidP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</w:p>
    <w:p w:rsidR="00036163" w:rsidRDefault="00036163" w:rsidP="00036163">
      <w:pPr>
        <w:pStyle w:val="Normal1"/>
        <w:tabs>
          <w:tab w:val="left" w:pos="-1440"/>
          <w:tab w:val="left" w:pos="-720"/>
          <w:tab w:val="left" w:pos="0"/>
        </w:tabs>
        <w:ind w:left="720" w:hanging="90"/>
        <w:jc w:val="both"/>
        <w:rPr>
          <w:b/>
          <w:sz w:val="20"/>
          <w:szCs w:val="20"/>
        </w:rPr>
      </w:pPr>
    </w:p>
    <w:tbl>
      <w:tblPr>
        <w:tblStyle w:val="4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68"/>
        <w:gridCol w:w="2988"/>
      </w:tblGrid>
      <w:tr w:rsidR="00662F4E" w:rsidTr="00036163">
        <w:trPr>
          <w:trHeight w:val="530"/>
        </w:trPr>
        <w:tc>
          <w:tcPr>
            <w:tcW w:w="586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(print):</w:t>
            </w:r>
          </w:p>
        </w:tc>
        <w:tc>
          <w:tcPr>
            <w:tcW w:w="298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662F4E" w:rsidTr="00036163">
        <w:trPr>
          <w:trHeight w:val="620"/>
        </w:trPr>
        <w:tc>
          <w:tcPr>
            <w:tcW w:w="586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298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tbl>
      <w:tblPr>
        <w:tblStyle w:val="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68"/>
        <w:gridCol w:w="2988"/>
      </w:tblGrid>
      <w:tr w:rsidR="00662F4E" w:rsidTr="00036163">
        <w:trPr>
          <w:trHeight w:val="665"/>
        </w:trPr>
        <w:tc>
          <w:tcPr>
            <w:tcW w:w="586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Submitting Application:</w:t>
            </w:r>
          </w:p>
        </w:tc>
        <w:tc>
          <w:tcPr>
            <w:tcW w:w="298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Submitted:</w:t>
            </w: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p w:rsidR="00036163" w:rsidRDefault="00036163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tbl>
      <w:tblPr>
        <w:tblStyle w:val="2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8"/>
        <w:gridCol w:w="4428"/>
      </w:tblGrid>
      <w:tr w:rsidR="00662F4E">
        <w:tc>
          <w:tcPr>
            <w:tcW w:w="8856" w:type="dxa"/>
            <w:gridSpan w:val="2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BILLING OFFICE USE ONLY</w:t>
            </w:r>
          </w:p>
        </w:tc>
      </w:tr>
      <w:tr w:rsidR="00662F4E">
        <w:trPr>
          <w:trHeight w:val="340"/>
        </w:trPr>
        <w:tc>
          <w:tcPr>
            <w:tcW w:w="442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Client Name:</w:t>
            </w:r>
          </w:p>
        </w:tc>
        <w:tc>
          <w:tcPr>
            <w:tcW w:w="442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Fee Schedule: (A,B,C,D or E)</w:t>
            </w:r>
          </w:p>
        </w:tc>
      </w:tr>
      <w:tr w:rsidR="00662F4E">
        <w:trPr>
          <w:trHeight w:val="340"/>
        </w:trPr>
        <w:tc>
          <w:tcPr>
            <w:tcW w:w="442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Date:</w:t>
            </w:r>
          </w:p>
        </w:tc>
        <w:tc>
          <w:tcPr>
            <w:tcW w:w="442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Billing Manager Approval:</w:t>
            </w: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ind w:left="720" w:hanging="720"/>
        <w:jc w:val="both"/>
        <w:rPr>
          <w:sz w:val="20"/>
          <w:szCs w:val="20"/>
        </w:rPr>
      </w:pPr>
    </w:p>
    <w:tbl>
      <w:tblPr>
        <w:tblStyle w:val="1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8"/>
        <w:gridCol w:w="2160"/>
        <w:gridCol w:w="1818"/>
      </w:tblGrid>
      <w:tr w:rsidR="00662F4E">
        <w:tc>
          <w:tcPr>
            <w:tcW w:w="4878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Verification Checklist-required before approval (attach)</w:t>
            </w:r>
          </w:p>
        </w:tc>
        <w:tc>
          <w:tcPr>
            <w:tcW w:w="2160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18" w:type="dxa"/>
            <w:shd w:val="clear" w:color="auto" w:fill="BFBFBF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62F4E">
        <w:tc>
          <w:tcPr>
            <w:tcW w:w="487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Identification</w:t>
            </w:r>
            <w:r>
              <w:rPr>
                <w:sz w:val="18"/>
                <w:szCs w:val="18"/>
              </w:rPr>
              <w:t>: Driver’s license, birth certificate, employment ID, social security card</w:t>
            </w:r>
          </w:p>
        </w:tc>
        <w:tc>
          <w:tcPr>
            <w:tcW w:w="216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rPr>
          <w:trHeight w:val="340"/>
        </w:trPr>
        <w:tc>
          <w:tcPr>
            <w:tcW w:w="487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Address: </w:t>
            </w:r>
            <w:r>
              <w:rPr>
                <w:sz w:val="18"/>
                <w:szCs w:val="18"/>
              </w:rPr>
              <w:t>Utility Bill, Bank Statement, Voter Registration Card</w:t>
            </w:r>
          </w:p>
        </w:tc>
        <w:tc>
          <w:tcPr>
            <w:tcW w:w="216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662F4E">
        <w:trPr>
          <w:trHeight w:val="360"/>
        </w:trPr>
        <w:tc>
          <w:tcPr>
            <w:tcW w:w="4878" w:type="dxa"/>
          </w:tcPr>
          <w:p w:rsidR="00662F4E" w:rsidRDefault="0084792D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Income:</w:t>
            </w:r>
            <w:r>
              <w:rPr>
                <w:sz w:val="18"/>
                <w:szCs w:val="18"/>
              </w:rPr>
              <w:t xml:space="preserve"> Prior year Federal tax return, two consecutive pay stubs, Statement of Benefits, No-income affidavit</w:t>
            </w:r>
          </w:p>
        </w:tc>
        <w:tc>
          <w:tcPr>
            <w:tcW w:w="2160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662F4E" w:rsidRDefault="00662F4E">
            <w:pPr>
              <w:pStyle w:val="Normal1"/>
              <w:tabs>
                <w:tab w:val="left" w:pos="-1440"/>
                <w:tab w:val="left" w:pos="-720"/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62F4E" w:rsidRDefault="00662F4E">
      <w:pPr>
        <w:pStyle w:val="Normal1"/>
        <w:tabs>
          <w:tab w:val="left" w:pos="-1440"/>
          <w:tab w:val="left" w:pos="-720"/>
          <w:tab w:val="left" w:pos="0"/>
        </w:tabs>
        <w:jc w:val="both"/>
        <w:rPr>
          <w:sz w:val="20"/>
          <w:szCs w:val="20"/>
        </w:rPr>
      </w:pPr>
    </w:p>
    <w:sectPr w:rsidR="00662F4E" w:rsidSect="00662F4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605"/>
    <w:multiLevelType w:val="multilevel"/>
    <w:tmpl w:val="C96A6E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51076FD"/>
    <w:multiLevelType w:val="hybridMultilevel"/>
    <w:tmpl w:val="1C1A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62A7B"/>
    <w:multiLevelType w:val="hybridMultilevel"/>
    <w:tmpl w:val="CA86EF4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5755144"/>
    <w:multiLevelType w:val="multilevel"/>
    <w:tmpl w:val="CF14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>
    <w:nsid w:val="5D141F81"/>
    <w:multiLevelType w:val="hybridMultilevel"/>
    <w:tmpl w:val="7C4AA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characterSpacingControl w:val="doNotCompress"/>
  <w:compat/>
  <w:rsids>
    <w:rsidRoot w:val="00662F4E"/>
    <w:rsid w:val="00036163"/>
    <w:rsid w:val="000438F2"/>
    <w:rsid w:val="00065A10"/>
    <w:rsid w:val="00096818"/>
    <w:rsid w:val="00181C41"/>
    <w:rsid w:val="001E18AB"/>
    <w:rsid w:val="001F37A9"/>
    <w:rsid w:val="00237F32"/>
    <w:rsid w:val="00256482"/>
    <w:rsid w:val="00303D70"/>
    <w:rsid w:val="003175E2"/>
    <w:rsid w:val="00383BAC"/>
    <w:rsid w:val="00414770"/>
    <w:rsid w:val="00440CCF"/>
    <w:rsid w:val="0046159C"/>
    <w:rsid w:val="00475228"/>
    <w:rsid w:val="00480445"/>
    <w:rsid w:val="00485493"/>
    <w:rsid w:val="004B425B"/>
    <w:rsid w:val="004C3635"/>
    <w:rsid w:val="004D65E4"/>
    <w:rsid w:val="004E679F"/>
    <w:rsid w:val="005065D5"/>
    <w:rsid w:val="00655007"/>
    <w:rsid w:val="00662F4E"/>
    <w:rsid w:val="006F4CAA"/>
    <w:rsid w:val="007014C0"/>
    <w:rsid w:val="00721E87"/>
    <w:rsid w:val="007415BA"/>
    <w:rsid w:val="007C3EE5"/>
    <w:rsid w:val="007E11E3"/>
    <w:rsid w:val="008023FE"/>
    <w:rsid w:val="0084792D"/>
    <w:rsid w:val="00887FD6"/>
    <w:rsid w:val="00891614"/>
    <w:rsid w:val="00917ACE"/>
    <w:rsid w:val="009454AF"/>
    <w:rsid w:val="00A21464"/>
    <w:rsid w:val="00AA71B2"/>
    <w:rsid w:val="00AD3FB9"/>
    <w:rsid w:val="00B3443C"/>
    <w:rsid w:val="00C120E6"/>
    <w:rsid w:val="00C46535"/>
    <w:rsid w:val="00C66352"/>
    <w:rsid w:val="00CB3DA7"/>
    <w:rsid w:val="00D23349"/>
    <w:rsid w:val="00D34A7D"/>
    <w:rsid w:val="00D431EB"/>
    <w:rsid w:val="00E5123E"/>
    <w:rsid w:val="00E57FF5"/>
    <w:rsid w:val="00E758EE"/>
    <w:rsid w:val="00EE436B"/>
    <w:rsid w:val="00FC115F"/>
    <w:rsid w:val="00FD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AC"/>
  </w:style>
  <w:style w:type="paragraph" w:styleId="Heading1">
    <w:name w:val="heading 1"/>
    <w:basedOn w:val="Normal1"/>
    <w:next w:val="Normal1"/>
    <w:rsid w:val="00662F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62F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62F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62F4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62F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62F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2F4E"/>
  </w:style>
  <w:style w:type="paragraph" w:styleId="Title">
    <w:name w:val="Title"/>
    <w:basedOn w:val="Normal1"/>
    <w:next w:val="Normal1"/>
    <w:rsid w:val="00662F4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62F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662F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AC"/>
  </w:style>
  <w:style w:type="paragraph" w:styleId="Heading1">
    <w:name w:val="heading 1"/>
    <w:basedOn w:val="Normal1"/>
    <w:next w:val="Normal1"/>
    <w:rsid w:val="00662F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62F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62F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62F4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62F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62F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2F4E"/>
  </w:style>
  <w:style w:type="paragraph" w:styleId="Title">
    <w:name w:val="Title"/>
    <w:basedOn w:val="Normal1"/>
    <w:next w:val="Normal1"/>
    <w:rsid w:val="00662F4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62F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rsid w:val="00662F4E"/>
    <w:tblPr>
      <w:tblStyleRowBandSize w:val="1"/>
      <w:tblStyleColBandSize w:val="1"/>
    </w:tblPr>
  </w:style>
  <w:style w:type="table" w:customStyle="1" w:styleId="9">
    <w:name w:val="9"/>
    <w:basedOn w:val="TableNormal"/>
    <w:rsid w:val="00662F4E"/>
    <w:tblPr>
      <w:tblStyleRowBandSize w:val="1"/>
      <w:tblStyleColBandSize w:val="1"/>
    </w:tblPr>
  </w:style>
  <w:style w:type="table" w:customStyle="1" w:styleId="8">
    <w:name w:val="8"/>
    <w:basedOn w:val="TableNormal"/>
    <w:rsid w:val="00662F4E"/>
    <w:tblPr>
      <w:tblStyleRowBandSize w:val="1"/>
      <w:tblStyleColBandSize w:val="1"/>
    </w:tblPr>
  </w:style>
  <w:style w:type="table" w:customStyle="1" w:styleId="7">
    <w:name w:val="7"/>
    <w:basedOn w:val="TableNormal"/>
    <w:rsid w:val="00662F4E"/>
    <w:tblPr>
      <w:tblStyleRowBandSize w:val="1"/>
      <w:tblStyleColBandSize w:val="1"/>
    </w:tblPr>
  </w:style>
  <w:style w:type="table" w:customStyle="1" w:styleId="6">
    <w:name w:val="6"/>
    <w:basedOn w:val="TableNormal"/>
    <w:rsid w:val="00662F4E"/>
    <w:tblPr>
      <w:tblStyleRowBandSize w:val="1"/>
      <w:tblStyleColBandSize w:val="1"/>
    </w:tblPr>
  </w:style>
  <w:style w:type="table" w:customStyle="1" w:styleId="5">
    <w:name w:val="5"/>
    <w:basedOn w:val="TableNormal"/>
    <w:rsid w:val="00662F4E"/>
    <w:tblPr>
      <w:tblStyleRowBandSize w:val="1"/>
      <w:tblStyleColBandSize w:val="1"/>
    </w:tblPr>
  </w:style>
  <w:style w:type="table" w:customStyle="1" w:styleId="4">
    <w:name w:val="4"/>
    <w:basedOn w:val="TableNormal"/>
    <w:rsid w:val="00662F4E"/>
    <w:tblPr>
      <w:tblStyleRowBandSize w:val="1"/>
      <w:tblStyleColBandSize w:val="1"/>
    </w:tblPr>
  </w:style>
  <w:style w:type="table" w:customStyle="1" w:styleId="3">
    <w:name w:val="3"/>
    <w:basedOn w:val="TableNormal"/>
    <w:rsid w:val="00662F4E"/>
    <w:tblPr>
      <w:tblStyleRowBandSize w:val="1"/>
      <w:tblStyleColBandSize w:val="1"/>
    </w:tblPr>
  </w:style>
  <w:style w:type="table" w:customStyle="1" w:styleId="2">
    <w:name w:val="2"/>
    <w:basedOn w:val="TableNormal"/>
    <w:rsid w:val="00662F4E"/>
    <w:tblPr>
      <w:tblStyleRowBandSize w:val="1"/>
      <w:tblStyleColBandSize w:val="1"/>
    </w:tblPr>
  </w:style>
  <w:style w:type="table" w:customStyle="1" w:styleId="1">
    <w:name w:val="1"/>
    <w:basedOn w:val="TableNormal"/>
    <w:rsid w:val="00662F4E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701</Words>
  <Characters>4000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Baschneider</dc:creator>
  <cp:lastModifiedBy>sachase</cp:lastModifiedBy>
  <cp:revision>9</cp:revision>
  <cp:lastPrinted>2019-01-10T15:53:00Z</cp:lastPrinted>
  <dcterms:created xsi:type="dcterms:W3CDTF">2023-01-23T14:21:00Z</dcterms:created>
  <dcterms:modified xsi:type="dcterms:W3CDTF">2023-01-24T19:22:00Z</dcterms:modified>
</cp:coreProperties>
</file>